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F4" w:rsidRPr="005B35B0" w:rsidRDefault="00492C55" w:rsidP="002265F4">
      <w:pPr>
        <w:rPr>
          <w:rFonts w:ascii="Garamond" w:hAnsi="Garamond"/>
          <w:sz w:val="24"/>
          <w:szCs w:val="24"/>
        </w:rPr>
      </w:pPr>
      <w:bookmarkStart w:id="0" w:name="_GoBack"/>
      <w:bookmarkEnd w:id="0"/>
      <w:r>
        <w:rPr>
          <w:rFonts w:ascii="Garamond" w:hAnsi="Garamond"/>
          <w:color w:val="auto"/>
          <w:kern w:val="0"/>
          <w:sz w:val="24"/>
          <w:szCs w:val="24"/>
        </w:rPr>
        <w:pict>
          <v:shapetype id="_x0000_t202" coordsize="21600,21600" o:spt="202" path="m,l,21600r21600,l21600,xe">
            <v:stroke joinstyle="miter"/>
            <v:path gradientshapeok="t" o:connecttype="rect"/>
          </v:shapetype>
          <v:shape id="_x0000_s1028" type="#_x0000_t202" style="position:absolute;margin-left:3in;margin-top:-9pt;width:245.4pt;height:31.5pt;z-index:251658240;mso-wrap-distance-left:2.88pt;mso-wrap-distance-top:2.88pt;mso-wrap-distance-right:2.88pt;mso-wrap-distance-bottom:2.88pt" filled="f" stroked="f" insetpen="t" o:cliptowrap="t">
            <v:shadow color="#ccc"/>
            <v:textbox style="mso-column-margin:2mm" inset="2.88pt,2.88pt,2.88pt,2.88pt">
              <w:txbxContent>
                <w:p w:rsidR="002F2AF9" w:rsidRDefault="002F2AF9" w:rsidP="002265F4">
                  <w:pPr>
                    <w:widowControl w:val="0"/>
                    <w:jc w:val="right"/>
                    <w:rPr>
                      <w:rFonts w:ascii="Arial" w:hAnsi="Arial" w:cs="Arial"/>
                      <w:b/>
                      <w:bCs/>
                    </w:rPr>
                  </w:pPr>
                </w:p>
                <w:p w:rsidR="002265F4" w:rsidRDefault="002F2AF9" w:rsidP="002265F4">
                  <w:pPr>
                    <w:widowControl w:val="0"/>
                    <w:jc w:val="right"/>
                    <w:rPr>
                      <w:rFonts w:ascii="Arial" w:hAnsi="Arial" w:cs="Arial"/>
                      <w:b/>
                      <w:bCs/>
                    </w:rPr>
                  </w:pPr>
                  <w:r>
                    <w:rPr>
                      <w:rFonts w:ascii="Arial" w:hAnsi="Arial" w:cs="Arial"/>
                      <w:b/>
                      <w:bCs/>
                    </w:rPr>
                    <w:t>ASEZAR</w:t>
                  </w:r>
                </w:p>
              </w:txbxContent>
            </v:textbox>
          </v:shape>
        </w:pict>
      </w:r>
      <w:r>
        <w:rPr>
          <w:rFonts w:ascii="Garamond" w:hAnsi="Garamond"/>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18pt;width:2in;height:108pt;z-index:251656192;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imagedata r:id="rId6" o:title="Logo ASEZAR2" chromakey="white" recolortarget="black"/>
            <v:shadow color="#ccc"/>
          </v:shape>
        </w:pict>
      </w:r>
    </w:p>
    <w:p w:rsidR="002265F4" w:rsidRPr="005B35B0" w:rsidRDefault="002265F4" w:rsidP="002265F4">
      <w:pPr>
        <w:jc w:val="right"/>
        <w:rPr>
          <w:rFonts w:ascii="Garamond" w:hAnsi="Garamond"/>
          <w:sz w:val="24"/>
          <w:szCs w:val="24"/>
        </w:rPr>
      </w:pPr>
    </w:p>
    <w:p w:rsidR="002265F4" w:rsidRPr="005B35B0" w:rsidRDefault="00492C55" w:rsidP="002265F4">
      <w:pPr>
        <w:rPr>
          <w:rFonts w:ascii="Garamond" w:hAnsi="Garamond"/>
          <w:sz w:val="24"/>
          <w:szCs w:val="24"/>
        </w:rPr>
      </w:pPr>
      <w:r>
        <w:rPr>
          <w:rFonts w:ascii="Garamond" w:hAnsi="Garamond"/>
          <w:color w:val="auto"/>
          <w:kern w:val="0"/>
          <w:sz w:val="24"/>
          <w:szCs w:val="24"/>
        </w:rPr>
        <w:pict>
          <v:line id="_x0000_s1029" style="position:absolute;z-index:251659264;mso-wrap-distance-left:2.88pt;mso-wrap-distance-top:2.88pt;mso-wrap-distance-right:2.88pt;mso-wrap-distance-bottom:2.88pt" from="108pt,0" to="459pt,0" strokeweight="1.5pt" o:cliptowrap="t">
            <v:shadow color="#ccc"/>
          </v:line>
        </w:pict>
      </w: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Pr="005B35B0" w:rsidRDefault="00492C55" w:rsidP="002265F4">
      <w:pPr>
        <w:rPr>
          <w:rFonts w:ascii="Garamond" w:hAnsi="Garamond"/>
          <w:sz w:val="24"/>
          <w:szCs w:val="24"/>
        </w:rPr>
      </w:pPr>
      <w:r>
        <w:rPr>
          <w:rFonts w:ascii="Garamond" w:hAnsi="Garamond"/>
          <w:color w:val="auto"/>
          <w:kern w:val="0"/>
          <w:sz w:val="24"/>
          <w:szCs w:val="24"/>
        </w:rPr>
        <w:pict>
          <v:shape id="_x0000_s1027" type="#_x0000_t202" style="position:absolute;margin-left:-36pt;margin-top:9pt;width:155.65pt;height:54pt;z-index:251657216;mso-wrap-distance-left:2.88pt;mso-wrap-distance-top:2.88pt;mso-wrap-distance-right:2.88pt;mso-wrap-distance-bottom:2.88pt" filled="f" stroked="f" insetpen="t" o:cliptowrap="t">
            <v:shadow color="#ccc"/>
            <v:textbox style="mso-next-textbox:#_x0000_s1027;mso-column-margin:2mm" inset="2.88pt,2.88pt,2.88pt,2.88pt">
              <w:txbxContent>
                <w:p w:rsidR="002265F4" w:rsidRPr="008F1F07" w:rsidRDefault="002265F4" w:rsidP="002265F4">
                  <w:pPr>
                    <w:widowControl w:val="0"/>
                    <w:jc w:val="center"/>
                    <w:rPr>
                      <w:rFonts w:ascii="Arial" w:hAnsi="Arial" w:cs="Arial"/>
                      <w:b/>
                      <w:bCs/>
                      <w:sz w:val="16"/>
                      <w:szCs w:val="16"/>
                    </w:rPr>
                  </w:pPr>
                  <w:r w:rsidRPr="008F1F07">
                    <w:rPr>
                      <w:rFonts w:ascii="Arial" w:hAnsi="Arial" w:cs="Arial"/>
                      <w:b/>
                      <w:bCs/>
                      <w:sz w:val="16"/>
                      <w:szCs w:val="16"/>
                    </w:rPr>
                    <w:t>Asociación Profesional de Expendedores de Tabacos y Timbre del Estado en la Provincia de Zaragoza</w:t>
                  </w:r>
                </w:p>
                <w:p w:rsidR="002265F4" w:rsidRPr="008F1F07" w:rsidRDefault="002265F4" w:rsidP="002265F4">
                  <w:pPr>
                    <w:widowControl w:val="0"/>
                    <w:jc w:val="center"/>
                    <w:rPr>
                      <w:rFonts w:ascii="Arial" w:hAnsi="Arial" w:cs="Arial"/>
                      <w:b/>
                      <w:bCs/>
                      <w:sz w:val="16"/>
                      <w:szCs w:val="16"/>
                    </w:rPr>
                  </w:pPr>
                </w:p>
                <w:p w:rsidR="002265F4" w:rsidRPr="008F1F07" w:rsidRDefault="002265F4" w:rsidP="002265F4">
                  <w:pPr>
                    <w:widowControl w:val="0"/>
                    <w:jc w:val="center"/>
                    <w:rPr>
                      <w:rFonts w:ascii="Arial" w:hAnsi="Arial" w:cs="Arial"/>
                      <w:b/>
                      <w:bCs/>
                      <w:sz w:val="16"/>
                      <w:szCs w:val="16"/>
                    </w:rPr>
                  </w:pPr>
                  <w:r w:rsidRPr="008F1F07">
                    <w:rPr>
                      <w:rFonts w:ascii="Arial" w:hAnsi="Arial" w:cs="Arial"/>
                      <w:b/>
                      <w:bCs/>
                      <w:sz w:val="16"/>
                      <w:szCs w:val="16"/>
                    </w:rPr>
                    <w:t>Adherida a la U.AA.EE.E.</w:t>
                  </w:r>
                </w:p>
              </w:txbxContent>
            </v:textbox>
          </v:shape>
        </w:pict>
      </w: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Default="002265F4" w:rsidP="002265F4">
      <w:pPr>
        <w:rPr>
          <w:rFonts w:ascii="Garamond" w:hAnsi="Garamond"/>
          <w:sz w:val="24"/>
          <w:szCs w:val="24"/>
        </w:rPr>
      </w:pPr>
    </w:p>
    <w:p w:rsidR="002265F4" w:rsidRDefault="002265F4" w:rsidP="002265F4">
      <w:pPr>
        <w:rPr>
          <w:rFonts w:ascii="Garamond" w:hAnsi="Garamond"/>
          <w:sz w:val="24"/>
          <w:szCs w:val="24"/>
        </w:rPr>
      </w:pPr>
    </w:p>
    <w:p w:rsidR="002F2AF9" w:rsidRDefault="002F2AF9" w:rsidP="002265F4">
      <w:pPr>
        <w:rPr>
          <w:rFonts w:ascii="Garamond" w:hAnsi="Garamond"/>
          <w:sz w:val="24"/>
          <w:szCs w:val="24"/>
        </w:rPr>
      </w:pPr>
    </w:p>
    <w:p w:rsidR="00760DA5" w:rsidRDefault="00C56570" w:rsidP="00B32153">
      <w:pPr>
        <w:jc w:val="right"/>
        <w:rPr>
          <w:rFonts w:ascii="Garamond" w:hAnsi="Garamond"/>
          <w:sz w:val="24"/>
          <w:szCs w:val="24"/>
        </w:rPr>
      </w:pPr>
      <w:r>
        <w:rPr>
          <w:rFonts w:ascii="Garamond" w:hAnsi="Garamond"/>
          <w:sz w:val="24"/>
          <w:szCs w:val="24"/>
        </w:rPr>
        <w:t xml:space="preserve">Zaragoza, </w:t>
      </w:r>
      <w:r w:rsidR="00F53DC5">
        <w:rPr>
          <w:rFonts w:ascii="Garamond" w:hAnsi="Garamond"/>
          <w:sz w:val="24"/>
          <w:szCs w:val="24"/>
        </w:rPr>
        <w:t>15 de febrero de 2016</w:t>
      </w:r>
    </w:p>
    <w:p w:rsidR="002F2AF9" w:rsidRDefault="002F2AF9" w:rsidP="002265F4">
      <w:pPr>
        <w:rPr>
          <w:rFonts w:ascii="Garamond" w:hAnsi="Garamond"/>
          <w:sz w:val="24"/>
          <w:szCs w:val="24"/>
        </w:rPr>
      </w:pPr>
    </w:p>
    <w:p w:rsidR="00D44CED" w:rsidRDefault="00D44CED" w:rsidP="00075DDB">
      <w:pPr>
        <w:jc w:val="both"/>
        <w:rPr>
          <w:rFonts w:ascii="Garamond" w:hAnsi="Garamond"/>
          <w:color w:val="auto"/>
          <w:sz w:val="24"/>
          <w:szCs w:val="24"/>
        </w:rPr>
      </w:pPr>
      <w:r>
        <w:rPr>
          <w:rFonts w:ascii="Garamond" w:hAnsi="Garamond"/>
          <w:color w:val="auto"/>
          <w:sz w:val="24"/>
          <w:szCs w:val="24"/>
        </w:rPr>
        <w:tab/>
      </w:r>
    </w:p>
    <w:p w:rsidR="00D44CED" w:rsidRDefault="00E900C8" w:rsidP="00075DDB">
      <w:pPr>
        <w:jc w:val="both"/>
        <w:rPr>
          <w:rFonts w:ascii="Garamond" w:hAnsi="Garamond"/>
          <w:color w:val="auto"/>
          <w:sz w:val="24"/>
          <w:szCs w:val="24"/>
        </w:rPr>
      </w:pPr>
      <w:r>
        <w:rPr>
          <w:rFonts w:ascii="Garamond" w:hAnsi="Garamond"/>
          <w:color w:val="auto"/>
          <w:sz w:val="24"/>
          <w:szCs w:val="24"/>
        </w:rPr>
        <w:t>Apreciados Compañeros:</w:t>
      </w:r>
    </w:p>
    <w:p w:rsidR="00E900C8" w:rsidRDefault="00E900C8" w:rsidP="00075DDB">
      <w:pPr>
        <w:jc w:val="both"/>
        <w:rPr>
          <w:rFonts w:ascii="Garamond" w:hAnsi="Garamond"/>
          <w:color w:val="auto"/>
          <w:sz w:val="24"/>
          <w:szCs w:val="24"/>
        </w:rPr>
      </w:pPr>
    </w:p>
    <w:p w:rsidR="00930528" w:rsidRPr="00930528" w:rsidRDefault="00930528" w:rsidP="00930528">
      <w:pPr>
        <w:ind w:firstLine="708"/>
        <w:jc w:val="both"/>
        <w:rPr>
          <w:rFonts w:ascii="Calibri" w:hAnsi="Calibri"/>
        </w:rPr>
      </w:pPr>
      <w:r>
        <w:rPr>
          <w:rFonts w:ascii="Calibri" w:hAnsi="Calibri"/>
        </w:rPr>
        <w:t>Nos comunican d</w:t>
      </w:r>
      <w:r w:rsidRPr="00930528">
        <w:rPr>
          <w:rFonts w:ascii="Calibri" w:hAnsi="Calibri"/>
        </w:rPr>
        <w:t>esde la</w:t>
      </w:r>
      <w:r w:rsidRPr="00930528">
        <w:rPr>
          <w:rFonts w:ascii="Calibri" w:hAnsi="Calibri"/>
          <w:color w:val="FF0000"/>
        </w:rPr>
        <w:t xml:space="preserve"> </w:t>
      </w:r>
      <w:r w:rsidRPr="00930528">
        <w:rPr>
          <w:rFonts w:ascii="Calibri" w:hAnsi="Calibri"/>
        </w:rPr>
        <w:t>Unión de Asociaciones de Estanqueros de Esp</w:t>
      </w:r>
      <w:r>
        <w:rPr>
          <w:rFonts w:ascii="Calibri" w:hAnsi="Calibri"/>
        </w:rPr>
        <w:t xml:space="preserve">aña </w:t>
      </w:r>
      <w:r w:rsidRPr="00930528">
        <w:rPr>
          <w:rFonts w:ascii="Calibri" w:hAnsi="Calibri"/>
        </w:rPr>
        <w:t xml:space="preserve"> que </w:t>
      </w:r>
      <w:r w:rsidRPr="00930528">
        <w:rPr>
          <w:rFonts w:ascii="Calibri" w:hAnsi="Calibri"/>
          <w:b/>
          <w:u w:val="single"/>
        </w:rPr>
        <w:t xml:space="preserve">uno de los objetivos principales del Comisionado para el Mercado de Tabacos dentro de su Plan Anual de Inspección para este año 2016 será garantizar el cumplimiento del </w:t>
      </w:r>
      <w:r w:rsidRPr="00930528">
        <w:rPr>
          <w:rFonts w:ascii="Calibri" w:hAnsi="Calibri"/>
          <w:b/>
          <w:i/>
          <w:u w:val="single"/>
        </w:rPr>
        <w:t>Principio de Neutralidad</w:t>
      </w:r>
      <w:r w:rsidRPr="00930528">
        <w:rPr>
          <w:rFonts w:ascii="Calibri" w:hAnsi="Calibri"/>
          <w:u w:val="single"/>
        </w:rPr>
        <w:t xml:space="preserve"> </w:t>
      </w:r>
      <w:r w:rsidRPr="00930528">
        <w:rPr>
          <w:rFonts w:ascii="Calibri" w:hAnsi="Calibri"/>
          <w:b/>
          <w:u w:val="single"/>
        </w:rPr>
        <w:t>en las Red de Expendedurías de Tabaco y Timbre del Estado</w:t>
      </w:r>
      <w:r w:rsidRPr="00930528">
        <w:rPr>
          <w:rFonts w:ascii="Calibri" w:hAnsi="Calibri"/>
          <w:u w:val="single"/>
        </w:rPr>
        <w:t xml:space="preserve">, </w:t>
      </w:r>
      <w:r w:rsidRPr="00930528">
        <w:rPr>
          <w:rFonts w:ascii="Calibri" w:hAnsi="Calibri"/>
          <w:b/>
          <w:u w:val="single"/>
        </w:rPr>
        <w:t>tomando como referencia a la hora de realizar tal comprobación</w:t>
      </w:r>
      <w:r w:rsidRPr="00930528">
        <w:rPr>
          <w:rFonts w:ascii="Calibri" w:hAnsi="Calibri"/>
          <w:b/>
        </w:rPr>
        <w:t xml:space="preserve">, junto a la Ley 13/98 y al Real Decreto 1199/1999, </w:t>
      </w:r>
      <w:r w:rsidRPr="00930528">
        <w:rPr>
          <w:rFonts w:ascii="Calibri" w:hAnsi="Calibri"/>
          <w:b/>
          <w:u w:val="single"/>
        </w:rPr>
        <w:t>la Circular 1/2015</w:t>
      </w:r>
      <w:r w:rsidRPr="00930528">
        <w:rPr>
          <w:rFonts w:ascii="Calibri" w:hAnsi="Calibri"/>
        </w:rPr>
        <w:t xml:space="preserve">, </w:t>
      </w:r>
      <w:r w:rsidRPr="00930528">
        <w:rPr>
          <w:rFonts w:ascii="Calibri" w:hAnsi="Calibri"/>
          <w:i/>
          <w:iCs/>
        </w:rPr>
        <w:t xml:space="preserve">de 11 de noviembre, </w:t>
      </w:r>
      <w:r w:rsidRPr="00930528">
        <w:rPr>
          <w:rFonts w:ascii="Calibri" w:hAnsi="Calibri"/>
        </w:rPr>
        <w:t>de dicho Organismo</w:t>
      </w:r>
      <w:r w:rsidRPr="00930528">
        <w:rPr>
          <w:rFonts w:ascii="Calibri" w:hAnsi="Calibri"/>
          <w:i/>
          <w:iCs/>
        </w:rPr>
        <w:t>, por la que se delimita el alcance y contenido de determinadas actividades promocionales</w:t>
      </w:r>
      <w:r w:rsidRPr="00930528">
        <w:rPr>
          <w:rFonts w:ascii="Calibri" w:hAnsi="Calibri"/>
        </w:rPr>
        <w:t xml:space="preserve">.  </w:t>
      </w:r>
    </w:p>
    <w:p w:rsidR="00930528" w:rsidRPr="00930528" w:rsidRDefault="00930528" w:rsidP="00930528">
      <w:pPr>
        <w:jc w:val="both"/>
        <w:rPr>
          <w:rFonts w:ascii="Calibri" w:hAnsi="Calibri"/>
        </w:rPr>
      </w:pPr>
      <w:r w:rsidRPr="00930528">
        <w:rPr>
          <w:rFonts w:ascii="Calibri" w:hAnsi="Calibri"/>
        </w:rPr>
        <w:t xml:space="preserve">  </w:t>
      </w:r>
    </w:p>
    <w:p w:rsidR="00930528" w:rsidRPr="00930528" w:rsidRDefault="00930528" w:rsidP="00930528">
      <w:pPr>
        <w:ind w:firstLine="708"/>
        <w:jc w:val="both"/>
        <w:rPr>
          <w:rFonts w:ascii="Calibri" w:hAnsi="Calibri"/>
        </w:rPr>
      </w:pPr>
      <w:r>
        <w:rPr>
          <w:rFonts w:ascii="Calibri" w:hAnsi="Calibri"/>
        </w:rPr>
        <w:t>A este respecto</w:t>
      </w:r>
      <w:r w:rsidRPr="00930528">
        <w:rPr>
          <w:rFonts w:ascii="Calibri" w:hAnsi="Calibri"/>
        </w:rPr>
        <w:t>, cabe recordaros que:</w:t>
      </w:r>
    </w:p>
    <w:p w:rsidR="00930528" w:rsidRPr="00930528" w:rsidRDefault="00930528" w:rsidP="00930528">
      <w:pPr>
        <w:ind w:firstLine="708"/>
        <w:jc w:val="both"/>
        <w:rPr>
          <w:rFonts w:ascii="Calibri" w:hAnsi="Calibri"/>
        </w:rPr>
      </w:pPr>
    </w:p>
    <w:p w:rsidR="00930528" w:rsidRPr="00930528" w:rsidRDefault="00930528" w:rsidP="00930528">
      <w:pPr>
        <w:pStyle w:val="Prrafodelista"/>
        <w:numPr>
          <w:ilvl w:val="0"/>
          <w:numId w:val="2"/>
        </w:numPr>
        <w:ind w:left="1068"/>
        <w:jc w:val="both"/>
      </w:pPr>
      <w:r w:rsidRPr="00930528">
        <w:rPr>
          <w:b/>
        </w:rPr>
        <w:t>La referida Circular 1/2015 es una “</w:t>
      </w:r>
      <w:r w:rsidRPr="00930528">
        <w:rPr>
          <w:b/>
          <w:i/>
        </w:rPr>
        <w:t>instrucción interna</w:t>
      </w:r>
      <w:r w:rsidRPr="00930528">
        <w:rPr>
          <w:b/>
        </w:rPr>
        <w:t>” del Comisionado</w:t>
      </w:r>
      <w:r w:rsidRPr="00930528">
        <w:t xml:space="preserve"> para que tanto los Agentes de la Guardia Civil como los propios Inspectores del mencionado Organismo la tengan en cuenta a la hora de llevar a cabo las inspecciones;</w:t>
      </w:r>
    </w:p>
    <w:p w:rsidR="00930528" w:rsidRPr="00930528" w:rsidRDefault="00930528" w:rsidP="00930528">
      <w:pPr>
        <w:pStyle w:val="Prrafodelista"/>
        <w:ind w:left="1068"/>
        <w:jc w:val="both"/>
      </w:pPr>
    </w:p>
    <w:p w:rsidR="00930528" w:rsidRPr="00930528" w:rsidRDefault="00930528" w:rsidP="00930528">
      <w:pPr>
        <w:pStyle w:val="Prrafodelista"/>
        <w:numPr>
          <w:ilvl w:val="0"/>
          <w:numId w:val="2"/>
        </w:numPr>
        <w:ind w:left="1068"/>
        <w:jc w:val="both"/>
      </w:pPr>
      <w:r w:rsidRPr="00930528">
        <w:rPr>
          <w:b/>
        </w:rPr>
        <w:t xml:space="preserve">El </w:t>
      </w:r>
      <w:r w:rsidRPr="00930528">
        <w:rPr>
          <w:b/>
          <w:i/>
        </w:rPr>
        <w:t>Principio de Neutralidad</w:t>
      </w:r>
      <w:r w:rsidRPr="00930528">
        <w:rPr>
          <w:b/>
        </w:rPr>
        <w:t xml:space="preserve"> </w:t>
      </w:r>
      <w:r w:rsidRPr="00930528">
        <w:t>no se deriva de la Circular 1/2015, sino que</w:t>
      </w:r>
      <w:r w:rsidRPr="00930528">
        <w:rPr>
          <w:b/>
        </w:rPr>
        <w:t xml:space="preserve"> constituye uno de los pilares fundamentales de nuestra normativa sectorial del mercado de tabacos</w:t>
      </w:r>
      <w:r w:rsidRPr="00930528">
        <w:t>;</w:t>
      </w:r>
      <w:r w:rsidRPr="00930528">
        <w:rPr>
          <w:b/>
        </w:rPr>
        <w:t xml:space="preserve"> </w:t>
      </w:r>
    </w:p>
    <w:p w:rsidR="00930528" w:rsidRPr="00930528" w:rsidRDefault="00930528" w:rsidP="00930528">
      <w:pPr>
        <w:pStyle w:val="Prrafodelista"/>
        <w:rPr>
          <w:b/>
        </w:rPr>
      </w:pPr>
    </w:p>
    <w:p w:rsidR="00930528" w:rsidRPr="00930528" w:rsidRDefault="00930528" w:rsidP="00930528">
      <w:pPr>
        <w:pStyle w:val="Prrafodelista"/>
        <w:numPr>
          <w:ilvl w:val="0"/>
          <w:numId w:val="2"/>
        </w:numPr>
        <w:ind w:left="1068"/>
        <w:jc w:val="both"/>
      </w:pPr>
      <w:r w:rsidRPr="00930528">
        <w:rPr>
          <w:b/>
        </w:rPr>
        <w:t xml:space="preserve">La vulneración de dicho Principio de Neutralidad está tipificada como una </w:t>
      </w:r>
      <w:r w:rsidRPr="00930528">
        <w:rPr>
          <w:b/>
          <w:u w:val="single"/>
        </w:rPr>
        <w:t>Infracción Grave</w:t>
      </w:r>
      <w:r w:rsidRPr="00930528">
        <w:t xml:space="preserve"> (art. 57.6 del Real Decreto 1199/1999, de 9 de julio), la cual lleva aparejada una sanción de 12.020,24 hasta 120.202,42 Euros o la suspensión temporal del ejercicio de la concesión de hasta 6 meses;</w:t>
      </w:r>
    </w:p>
    <w:p w:rsidR="00930528" w:rsidRPr="00930528" w:rsidRDefault="00930528" w:rsidP="00930528">
      <w:pPr>
        <w:jc w:val="both"/>
        <w:rPr>
          <w:rFonts w:ascii="Calibri" w:hAnsi="Calibri"/>
        </w:rPr>
      </w:pPr>
    </w:p>
    <w:p w:rsidR="00930528" w:rsidRPr="00930528" w:rsidRDefault="00930528" w:rsidP="00930528">
      <w:pPr>
        <w:pStyle w:val="Prrafodelista"/>
        <w:numPr>
          <w:ilvl w:val="0"/>
          <w:numId w:val="2"/>
        </w:numPr>
        <w:ind w:left="1068"/>
        <w:jc w:val="both"/>
      </w:pPr>
      <w:r w:rsidRPr="00930528">
        <w:t xml:space="preserve">De cara a su aplicación práctica, </w:t>
      </w:r>
      <w:r w:rsidRPr="00930528">
        <w:rPr>
          <w:b/>
        </w:rPr>
        <w:t>es preciso prestar especial atención a los siguientes aspectos relacionados con el mobiliario</w:t>
      </w:r>
      <w:r w:rsidRPr="00930528">
        <w:t>:</w:t>
      </w:r>
    </w:p>
    <w:p w:rsidR="00930528" w:rsidRPr="00930528" w:rsidRDefault="00930528" w:rsidP="00930528">
      <w:pPr>
        <w:jc w:val="both"/>
        <w:rPr>
          <w:rFonts w:ascii="Calibri" w:hAnsi="Calibri"/>
        </w:rPr>
      </w:pPr>
    </w:p>
    <w:p w:rsidR="00930528" w:rsidRPr="00930528" w:rsidRDefault="00930528" w:rsidP="00930528">
      <w:pPr>
        <w:pStyle w:val="Prrafodelista"/>
        <w:numPr>
          <w:ilvl w:val="1"/>
          <w:numId w:val="2"/>
        </w:numPr>
        <w:jc w:val="both"/>
      </w:pPr>
      <w:r w:rsidRPr="00930528">
        <w:t>El mobiliario y expositores situados en las expendedurías, no podrán contener nombres, marcas, símbolos u otros elementos distintivos de productos del tabaco;</w:t>
      </w:r>
    </w:p>
    <w:p w:rsidR="00930528" w:rsidRPr="00930528" w:rsidRDefault="00930528" w:rsidP="00930528">
      <w:pPr>
        <w:pStyle w:val="Prrafodelista"/>
        <w:ind w:left="2148"/>
        <w:jc w:val="both"/>
      </w:pPr>
    </w:p>
    <w:p w:rsidR="00930528" w:rsidRPr="00930528" w:rsidRDefault="00930528" w:rsidP="00590C36">
      <w:pPr>
        <w:pStyle w:val="Prrafodelista"/>
        <w:numPr>
          <w:ilvl w:val="1"/>
          <w:numId w:val="2"/>
        </w:numPr>
        <w:jc w:val="both"/>
      </w:pPr>
      <w:r w:rsidRPr="00930528">
        <w:t xml:space="preserve">el mobiliario no podrá tener una iluminación diferente al resto, y sólo podrá colocarse cartelería sobre el mismo si ésta es neutra (por ejemplo de una imagen de una plantación de tabaco); </w:t>
      </w:r>
    </w:p>
    <w:p w:rsidR="00930528" w:rsidRPr="00930528" w:rsidRDefault="00930528" w:rsidP="00930528">
      <w:pPr>
        <w:pStyle w:val="Prrafodelista"/>
        <w:ind w:left="2148"/>
        <w:jc w:val="both"/>
      </w:pPr>
    </w:p>
    <w:p w:rsidR="00930528" w:rsidRPr="00930528" w:rsidRDefault="00930528" w:rsidP="00930528">
      <w:pPr>
        <w:pStyle w:val="Prrafodelista"/>
        <w:numPr>
          <w:ilvl w:val="1"/>
          <w:numId w:val="2"/>
        </w:numPr>
        <w:jc w:val="both"/>
      </w:pPr>
      <w:r w:rsidRPr="00930528">
        <w:t>Se podrá destinar en su interior un espacio para la exposición periódica y rotativa de labores de tabaco objeto de campañas promocionales;</w:t>
      </w:r>
    </w:p>
    <w:p w:rsidR="00930528" w:rsidRPr="00930528" w:rsidRDefault="00930528" w:rsidP="00930528">
      <w:pPr>
        <w:jc w:val="both"/>
        <w:rPr>
          <w:rFonts w:ascii="Calibri" w:hAnsi="Calibri"/>
        </w:rPr>
      </w:pPr>
    </w:p>
    <w:p w:rsidR="00930528" w:rsidRPr="00930528" w:rsidRDefault="00930528" w:rsidP="00930528">
      <w:pPr>
        <w:pStyle w:val="Prrafodelista"/>
        <w:numPr>
          <w:ilvl w:val="1"/>
          <w:numId w:val="2"/>
        </w:numPr>
        <w:jc w:val="both"/>
      </w:pPr>
      <w:r w:rsidRPr="00930528">
        <w:t>El mobiliario deberá ser propiedad del Expendedor o del mayorista. Y aunque el mueble sea propiedad de un mayorista, dicho espacio podrá incluir marcas de cualquier otro operador mayorista;</w:t>
      </w:r>
    </w:p>
    <w:p w:rsidR="00930528" w:rsidRPr="00930528" w:rsidRDefault="00930528" w:rsidP="00930528">
      <w:pPr>
        <w:pStyle w:val="Prrafodelista"/>
        <w:ind w:left="2148"/>
        <w:jc w:val="both"/>
      </w:pPr>
    </w:p>
    <w:p w:rsidR="00930528" w:rsidRPr="00930528" w:rsidRDefault="00930528" w:rsidP="00930528">
      <w:pPr>
        <w:pStyle w:val="Prrafodelista"/>
        <w:numPr>
          <w:ilvl w:val="1"/>
          <w:numId w:val="2"/>
        </w:numPr>
        <w:jc w:val="both"/>
      </w:pPr>
      <w:r w:rsidRPr="00930528">
        <w:t>Los operadores mayoristas no podrán incentivar de modo alguno a los expendedores para la instalación de este mobiliario;</w:t>
      </w:r>
      <w:r w:rsidRPr="00BF2FC2">
        <w:t xml:space="preserve"> </w:t>
      </w:r>
    </w:p>
    <w:p w:rsidR="00930528" w:rsidRPr="00BF2FC2" w:rsidRDefault="00930528" w:rsidP="00930528">
      <w:pPr>
        <w:pStyle w:val="Prrafodelista"/>
      </w:pPr>
    </w:p>
    <w:p w:rsidR="00930528" w:rsidRPr="00930528" w:rsidRDefault="00930528" w:rsidP="00930528">
      <w:pPr>
        <w:pStyle w:val="Prrafodelista"/>
        <w:numPr>
          <w:ilvl w:val="1"/>
          <w:numId w:val="2"/>
        </w:numPr>
        <w:jc w:val="both"/>
      </w:pPr>
      <w:r w:rsidRPr="00BF2FC2">
        <w:t>Las labores de los lineales deberán corresponderse con la demanda real en la expendeduría</w:t>
      </w:r>
      <w:r>
        <w:t>;</w:t>
      </w:r>
    </w:p>
    <w:p w:rsidR="00930528" w:rsidRDefault="00930528" w:rsidP="00930528">
      <w:pPr>
        <w:pStyle w:val="Prrafodelista"/>
      </w:pPr>
    </w:p>
    <w:p w:rsidR="00930528" w:rsidRPr="00930528" w:rsidRDefault="00930528" w:rsidP="00930528">
      <w:pPr>
        <w:pStyle w:val="Prrafodelista"/>
        <w:numPr>
          <w:ilvl w:val="1"/>
          <w:numId w:val="2"/>
        </w:numPr>
        <w:jc w:val="both"/>
      </w:pPr>
      <w:r w:rsidRPr="00FB260D">
        <w:t>Las labores de baja rotación no se exhibirán en los lineales principales y su proporción no podrá ser distinta a la verdadera demanda de la expendeduría.</w:t>
      </w:r>
    </w:p>
    <w:p w:rsidR="00930528" w:rsidRPr="00930528" w:rsidRDefault="00930528" w:rsidP="00930528">
      <w:pPr>
        <w:pStyle w:val="Prrafodelista"/>
      </w:pPr>
    </w:p>
    <w:p w:rsidR="00930528" w:rsidRPr="00930528" w:rsidRDefault="00930528" w:rsidP="00930528">
      <w:pPr>
        <w:ind w:firstLine="360"/>
        <w:jc w:val="both"/>
        <w:rPr>
          <w:rFonts w:ascii="Calibri" w:hAnsi="Calibri"/>
          <w:b/>
        </w:rPr>
      </w:pPr>
      <w:r w:rsidRPr="00930528">
        <w:rPr>
          <w:rFonts w:ascii="Calibri" w:hAnsi="Calibri"/>
        </w:rPr>
        <w:t xml:space="preserve">Por otra parte, os recordamos que </w:t>
      </w:r>
      <w:r w:rsidRPr="00930528">
        <w:rPr>
          <w:rFonts w:ascii="Calibri" w:hAnsi="Calibri"/>
          <w:b/>
        </w:rPr>
        <w:t>en la G</w:t>
      </w:r>
      <w:r w:rsidRPr="00BF2FC2">
        <w:rPr>
          <w:b/>
        </w:rPr>
        <w:t>estión Delegada, el Expendedor es el responsable de la elección de las labores a incluir en máquinas expendedoras, por lo que deberá respetar en todo momento el criterio de la mayor demanda por parte de los clientes, tomando como base los 15 días que la factura o vendí puede amparar la tenencia de aquellas en las máquinas.</w:t>
      </w:r>
    </w:p>
    <w:p w:rsidR="00930528" w:rsidRPr="00930528" w:rsidRDefault="00930528" w:rsidP="00930528">
      <w:pPr>
        <w:ind w:firstLine="360"/>
        <w:jc w:val="both"/>
        <w:rPr>
          <w:rFonts w:ascii="Calibri" w:hAnsi="Calibri"/>
        </w:rPr>
      </w:pPr>
    </w:p>
    <w:p w:rsidR="00930528" w:rsidRPr="00930528" w:rsidRDefault="00930528" w:rsidP="00930528">
      <w:pPr>
        <w:ind w:firstLine="360"/>
        <w:jc w:val="both"/>
        <w:rPr>
          <w:rFonts w:ascii="Calibri" w:hAnsi="Calibri"/>
        </w:rPr>
      </w:pPr>
      <w:r w:rsidRPr="00930528">
        <w:rPr>
          <w:rFonts w:ascii="Calibri" w:hAnsi="Calibri"/>
        </w:rPr>
        <w:t xml:space="preserve">Por último, </w:t>
      </w:r>
      <w:r w:rsidRPr="00930528">
        <w:rPr>
          <w:rFonts w:ascii="Calibri" w:hAnsi="Calibri"/>
          <w:b/>
        </w:rPr>
        <w:t>os invitamos a leer con detenimiento la Tribuna Legal sobre “</w:t>
      </w:r>
      <w:r w:rsidRPr="00930528">
        <w:rPr>
          <w:rFonts w:ascii="Calibri" w:hAnsi="Calibri"/>
          <w:b/>
          <w:i/>
        </w:rPr>
        <w:t>Dudas y otras cuestiones de la Circular 1/2015</w:t>
      </w:r>
      <w:r w:rsidRPr="00930528">
        <w:rPr>
          <w:rFonts w:ascii="Calibri" w:hAnsi="Calibri"/>
          <w:b/>
        </w:rPr>
        <w:t>” que será publicada en la edición número 200 de nuestra revista Mundo Estanco de este mes de febrero</w:t>
      </w:r>
      <w:r w:rsidRPr="00930528">
        <w:rPr>
          <w:rFonts w:ascii="Calibri" w:hAnsi="Calibri"/>
        </w:rPr>
        <w:t>, donde el propio Comisionado nos ha dado respuesta a diversas cuestiones de carácter práctico que les fueron planteadas por esta Organización; asimismo, también es interesante la lectura de la anterior Tribuna Legal publicada el pasado mes de diciembre de 2015 (Edición número 198) sobre la publicación de la referida Circular 1/2015, entre otros asuntos.</w:t>
      </w:r>
    </w:p>
    <w:p w:rsidR="00930528" w:rsidRPr="00930528" w:rsidRDefault="00930528" w:rsidP="00930528">
      <w:pPr>
        <w:jc w:val="both"/>
        <w:rPr>
          <w:rFonts w:ascii="Calibri" w:hAnsi="Calibri"/>
        </w:rPr>
      </w:pPr>
    </w:p>
    <w:p w:rsidR="00930528" w:rsidRPr="00930528" w:rsidRDefault="00930528" w:rsidP="00930528">
      <w:pPr>
        <w:jc w:val="both"/>
        <w:rPr>
          <w:rFonts w:ascii="Calibri" w:hAnsi="Calibri"/>
        </w:rPr>
      </w:pPr>
    </w:p>
    <w:p w:rsidR="00930528" w:rsidRPr="004D5600" w:rsidRDefault="00930528" w:rsidP="00930528">
      <w:pPr>
        <w:jc w:val="both"/>
      </w:pPr>
    </w:p>
    <w:p w:rsidR="00D44CED" w:rsidRDefault="00930528" w:rsidP="00930528">
      <w:pPr>
        <w:tabs>
          <w:tab w:val="right" w:pos="9071"/>
        </w:tabs>
        <w:rPr>
          <w:rFonts w:ascii="Garamond" w:hAnsi="Garamond"/>
          <w:color w:val="auto"/>
          <w:sz w:val="24"/>
          <w:szCs w:val="24"/>
        </w:rPr>
      </w:pPr>
      <w:r>
        <w:rPr>
          <w:rFonts w:ascii="Garamond" w:hAnsi="Garamond"/>
          <w:color w:val="auto"/>
          <w:sz w:val="24"/>
          <w:szCs w:val="24"/>
        </w:rPr>
        <w:tab/>
      </w:r>
      <w:r w:rsidR="002F2AF9">
        <w:rPr>
          <w:rFonts w:ascii="Garamond" w:hAnsi="Garamond"/>
          <w:color w:val="auto"/>
          <w:sz w:val="24"/>
          <w:szCs w:val="24"/>
        </w:rPr>
        <w:t>José Corral Valiente</w:t>
      </w:r>
    </w:p>
    <w:p w:rsidR="002F2AF9" w:rsidRDefault="002F2AF9" w:rsidP="002F2AF9">
      <w:pPr>
        <w:jc w:val="right"/>
        <w:rPr>
          <w:rFonts w:ascii="Garamond" w:hAnsi="Garamond"/>
          <w:color w:val="auto"/>
          <w:sz w:val="24"/>
          <w:szCs w:val="24"/>
        </w:rPr>
      </w:pPr>
      <w:r>
        <w:rPr>
          <w:rFonts w:ascii="Garamond" w:hAnsi="Garamond"/>
          <w:color w:val="auto"/>
          <w:sz w:val="24"/>
          <w:szCs w:val="24"/>
        </w:rPr>
        <w:t>Presidente de ASEZAR</w:t>
      </w:r>
    </w:p>
    <w:p w:rsidR="00D44CED" w:rsidRDefault="00D44CED" w:rsidP="002F2AF9">
      <w:pPr>
        <w:jc w:val="right"/>
        <w:rPr>
          <w:rFonts w:ascii="Garamond" w:hAnsi="Garamond"/>
          <w:color w:val="auto"/>
          <w:sz w:val="24"/>
          <w:szCs w:val="24"/>
        </w:rPr>
      </w:pPr>
    </w:p>
    <w:p w:rsidR="00D44CED" w:rsidRDefault="00D44CED" w:rsidP="00075DDB">
      <w:pPr>
        <w:jc w:val="both"/>
        <w:rPr>
          <w:rFonts w:ascii="Garamond" w:hAnsi="Garamond"/>
          <w:color w:val="auto"/>
          <w:sz w:val="24"/>
          <w:szCs w:val="24"/>
        </w:rPr>
      </w:pPr>
    </w:p>
    <w:p w:rsidR="002F2AF9" w:rsidRDefault="00D44CED" w:rsidP="00D44CED">
      <w:pPr>
        <w:jc w:val="both"/>
        <w:rPr>
          <w:rFonts w:ascii="Garamond" w:hAnsi="Garamond"/>
          <w:color w:val="auto"/>
          <w:sz w:val="24"/>
          <w:szCs w:val="24"/>
        </w:rPr>
      </w:pPr>
      <w:r>
        <w:rPr>
          <w:rFonts w:ascii="Garamond" w:hAnsi="Garamond"/>
          <w:color w:val="auto"/>
          <w:sz w:val="24"/>
          <w:szCs w:val="24"/>
        </w:rPr>
        <w:tab/>
      </w:r>
    </w:p>
    <w:p w:rsidR="001140B9" w:rsidRDefault="001140B9" w:rsidP="00D44CED">
      <w:pPr>
        <w:jc w:val="both"/>
        <w:rPr>
          <w:rFonts w:ascii="Garamond" w:hAnsi="Garamond"/>
          <w:color w:val="auto"/>
          <w:sz w:val="24"/>
          <w:szCs w:val="24"/>
        </w:rPr>
      </w:pPr>
    </w:p>
    <w:p w:rsidR="001140B9" w:rsidRDefault="001140B9" w:rsidP="00D44CED">
      <w:pPr>
        <w:jc w:val="both"/>
        <w:rPr>
          <w:rFonts w:ascii="Garamond" w:hAnsi="Garamond"/>
          <w:color w:val="auto"/>
          <w:sz w:val="24"/>
          <w:szCs w:val="24"/>
        </w:rPr>
      </w:pPr>
    </w:p>
    <w:p w:rsidR="001140B9" w:rsidRDefault="001140B9" w:rsidP="001140B9">
      <w:pPr>
        <w:jc w:val="both"/>
        <w:rPr>
          <w:rFonts w:ascii="Garamond" w:hAnsi="Garamond"/>
          <w:color w:val="auto"/>
          <w:sz w:val="24"/>
          <w:szCs w:val="24"/>
        </w:rPr>
      </w:pPr>
    </w:p>
    <w:p w:rsidR="007B2D9A" w:rsidRDefault="007B2D9A" w:rsidP="007B2D9A">
      <w:pPr>
        <w:jc w:val="both"/>
        <w:rPr>
          <w:rFonts w:ascii="Arial Narrow" w:hAnsi="Arial Narrow"/>
          <w:b/>
          <w:color w:val="auto"/>
          <w:u w:val="single"/>
        </w:rPr>
      </w:pPr>
    </w:p>
    <w:p w:rsidR="001140B9" w:rsidRDefault="001140B9" w:rsidP="001140B9">
      <w:pPr>
        <w:jc w:val="both"/>
        <w:rPr>
          <w:rFonts w:ascii="Arial Narrow" w:hAnsi="Arial Narrow"/>
          <w:b/>
          <w:color w:val="auto"/>
        </w:rPr>
      </w:pPr>
    </w:p>
    <w:p w:rsidR="001140B9" w:rsidRDefault="001140B9" w:rsidP="001140B9">
      <w:pPr>
        <w:jc w:val="both"/>
        <w:rPr>
          <w:rFonts w:ascii="Arial Narrow" w:hAnsi="Arial Narrow"/>
          <w:b/>
          <w:color w:val="auto"/>
        </w:rPr>
      </w:pPr>
    </w:p>
    <w:p w:rsidR="001140B9" w:rsidRDefault="001140B9" w:rsidP="001140B9">
      <w:pPr>
        <w:jc w:val="center"/>
        <w:rPr>
          <w:rFonts w:ascii="Arial Narrow" w:hAnsi="Arial Narrow" w:cs="Arial"/>
          <w:b/>
          <w:color w:val="auto"/>
          <w:sz w:val="18"/>
          <w:szCs w:val="18"/>
        </w:rPr>
      </w:pPr>
    </w:p>
    <w:p w:rsidR="002F2AF9" w:rsidRDefault="001140B9" w:rsidP="007243DC">
      <w:pPr>
        <w:jc w:val="center"/>
        <w:rPr>
          <w:rFonts w:ascii="Garamond" w:hAnsi="Garamond"/>
          <w:color w:val="auto"/>
          <w:sz w:val="24"/>
          <w:szCs w:val="24"/>
        </w:rPr>
      </w:pPr>
      <w:r>
        <w:rPr>
          <w:rFonts w:ascii="Arial Narrow" w:hAnsi="Arial Narrow" w:cs="Arial"/>
          <w:b/>
          <w:color w:val="auto"/>
          <w:sz w:val="18"/>
          <w:szCs w:val="18"/>
        </w:rPr>
        <w:t xml:space="preserve">ASEZAR ● C/ Pintor Manuel Viola, 4 – Local 2  ● 50014  Zaragoza ● </w:t>
      </w:r>
      <w:r>
        <w:rPr>
          <w:rFonts w:ascii="Arial Narrow" w:hAnsi="Arial Narrow" w:cs="Arial"/>
          <w:b/>
          <w:color w:val="auto"/>
          <w:sz w:val="18"/>
          <w:szCs w:val="18"/>
        </w:rPr>
        <w:sym w:font="Wingdings" w:char="0028"/>
      </w:r>
      <w:r>
        <w:rPr>
          <w:rFonts w:ascii="Arial Narrow" w:hAnsi="Arial Narrow" w:cs="Arial"/>
          <w:b/>
          <w:color w:val="auto"/>
          <w:sz w:val="18"/>
          <w:szCs w:val="18"/>
        </w:rPr>
        <w:t xml:space="preserve"> 976 47 60 70  ● info@asezar.com ● ww.asezar.com</w:t>
      </w:r>
    </w:p>
    <w:sectPr w:rsidR="002F2AF9" w:rsidSect="009F5600">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EDC"/>
    <w:multiLevelType w:val="hybridMultilevel"/>
    <w:tmpl w:val="43769CD4"/>
    <w:lvl w:ilvl="0" w:tplc="0C0A000B">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2A1E7A45"/>
    <w:multiLevelType w:val="hybridMultilevel"/>
    <w:tmpl w:val="523E7F32"/>
    <w:lvl w:ilvl="0" w:tplc="617C33B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5F4"/>
    <w:rsid w:val="00063C52"/>
    <w:rsid w:val="00075DDB"/>
    <w:rsid w:val="00076A3A"/>
    <w:rsid w:val="001140B9"/>
    <w:rsid w:val="00181DF3"/>
    <w:rsid w:val="002265F4"/>
    <w:rsid w:val="002F2AF9"/>
    <w:rsid w:val="003B3D1B"/>
    <w:rsid w:val="003C55DF"/>
    <w:rsid w:val="00492C55"/>
    <w:rsid w:val="00590C36"/>
    <w:rsid w:val="005A6762"/>
    <w:rsid w:val="005D4777"/>
    <w:rsid w:val="00664498"/>
    <w:rsid w:val="006975B1"/>
    <w:rsid w:val="007243DC"/>
    <w:rsid w:val="00744900"/>
    <w:rsid w:val="00760DA5"/>
    <w:rsid w:val="007707E5"/>
    <w:rsid w:val="007B2D9A"/>
    <w:rsid w:val="00833CFC"/>
    <w:rsid w:val="00901838"/>
    <w:rsid w:val="00930528"/>
    <w:rsid w:val="009F5600"/>
    <w:rsid w:val="00A922FA"/>
    <w:rsid w:val="00AB3D06"/>
    <w:rsid w:val="00B32153"/>
    <w:rsid w:val="00C56570"/>
    <w:rsid w:val="00CC0CFA"/>
    <w:rsid w:val="00D31E7F"/>
    <w:rsid w:val="00D44CED"/>
    <w:rsid w:val="00D632B7"/>
    <w:rsid w:val="00E900C8"/>
    <w:rsid w:val="00F53D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5F4"/>
    <w:rPr>
      <w:color w:val="000000"/>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0528"/>
    <w:pPr>
      <w:ind w:left="720"/>
    </w:pPr>
    <w:rPr>
      <w:rFonts w:ascii="Calibri" w:eastAsia="Calibri" w:hAnsi="Calibri"/>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976">
      <w:bodyDiv w:val="1"/>
      <w:marLeft w:val="0"/>
      <w:marRight w:val="0"/>
      <w:marTop w:val="0"/>
      <w:marBottom w:val="0"/>
      <w:divBdr>
        <w:top w:val="none" w:sz="0" w:space="0" w:color="auto"/>
        <w:left w:val="none" w:sz="0" w:space="0" w:color="auto"/>
        <w:bottom w:val="none" w:sz="0" w:space="0" w:color="auto"/>
        <w:right w:val="none" w:sz="0" w:space="0" w:color="auto"/>
      </w:divBdr>
    </w:div>
    <w:div w:id="388236219">
      <w:bodyDiv w:val="1"/>
      <w:marLeft w:val="0"/>
      <w:marRight w:val="0"/>
      <w:marTop w:val="0"/>
      <w:marBottom w:val="0"/>
      <w:divBdr>
        <w:top w:val="none" w:sz="0" w:space="0" w:color="auto"/>
        <w:left w:val="none" w:sz="0" w:space="0" w:color="auto"/>
        <w:bottom w:val="none" w:sz="0" w:space="0" w:color="auto"/>
        <w:right w:val="none" w:sz="0" w:space="0" w:color="auto"/>
      </w:divBdr>
    </w:div>
    <w:div w:id="5720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dcterms:created xsi:type="dcterms:W3CDTF">2017-07-10T11:01:00Z</dcterms:created>
  <dcterms:modified xsi:type="dcterms:W3CDTF">2017-07-10T11:01:00Z</dcterms:modified>
</cp:coreProperties>
</file>